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668C2">
        <w:rPr>
          <w:rFonts w:ascii="Times New Roman" w:eastAsia="Calibri" w:hAnsi="Times New Roman" w:cs="Times New Roman"/>
          <w:i/>
          <w:sz w:val="24"/>
          <w:szCs w:val="24"/>
        </w:rPr>
        <w:t>Nombre de 1er Autor</w:t>
      </w:r>
      <w:r w:rsidR="0063163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</w:t>
      </w:r>
      <w:r w:rsidRPr="006668C2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</w:t>
      </w:r>
      <w:r w:rsidR="0063163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 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rPr>
          <w:rFonts w:ascii="Times New Roman" w:hAnsi="Times New Roman" w:cs="Times New Roman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 de Nombre 2do Autor. Apellido</w:t>
      </w: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</w:t>
      </w:r>
      <w:r w:rsidR="00631630">
        <w:rPr>
          <w:rFonts w:ascii="Times New Roman" w:eastAsia="Calibri" w:hAnsi="Times New Roman" w:cs="Times New Roman"/>
          <w:sz w:val="20"/>
          <w:szCs w:val="20"/>
          <w:lang w:val="es-MX"/>
        </w:rPr>
        <w:t>rimera letra de Nombre Editores,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Apellido</w:t>
      </w:r>
      <w:r w:rsidR="00631630">
        <w:rPr>
          <w:rFonts w:ascii="Times New Roman" w:eastAsia="Calibri" w:hAnsi="Times New Roman" w:cs="Times New Roman"/>
          <w:sz w:val="20"/>
          <w:szCs w:val="20"/>
          <w:lang w:val="es-MX"/>
        </w:rPr>
        <w:t>s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="00DB0E41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del Acta </w:t>
      </w:r>
      <w:bookmarkStart w:id="0" w:name="_GoBack"/>
      <w:bookmarkEnd w:id="0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6668C2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FE35E5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6668C2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0F39F2" w:rsidRPr="006668C2" w:rsidRDefault="000F39F2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6668C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6668C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6668C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6668C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="00615A0E" w:rsidRPr="006668C2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Variables de Rendimiento (BMV) del 21 octubre del 2015</w:t>
      </w:r>
    </w:p>
    <w:p w:rsidR="00E00C5C" w:rsidRPr="006668C2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615A0E" w:rsidRPr="006668C2" w:rsidTr="00517B4C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615A0E" w:rsidRPr="006668C2" w:rsidTr="00517B4C">
        <w:trPr>
          <w:trHeight w:val="241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 xml:space="preserve">V 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Volumen de Venta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20000</w:t>
            </w:r>
          </w:p>
        </w:tc>
      </w:tr>
      <w:tr w:rsidR="00615A0E" w:rsidRPr="006668C2" w:rsidTr="00517B4C">
        <w:trPr>
          <w:trHeight w:val="24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Postura de venta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490.61</w:t>
            </w:r>
          </w:p>
        </w:tc>
      </w:tr>
      <w:tr w:rsidR="00615A0E" w:rsidRPr="006668C2" w:rsidTr="00517B4C">
        <w:trPr>
          <w:trHeight w:val="23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Volumen de Compra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20000</w:t>
            </w:r>
          </w:p>
        </w:tc>
      </w:tr>
      <w:tr w:rsidR="00615A0E" w:rsidRPr="006668C2" w:rsidTr="00517B4C">
        <w:trPr>
          <w:trHeight w:val="22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Postura de Compra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485.39</w:t>
            </w:r>
          </w:p>
        </w:tc>
      </w:tr>
      <w:tr w:rsidR="00615A0E" w:rsidRPr="006668C2" w:rsidTr="00517B4C">
        <w:trPr>
          <w:trHeight w:val="21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Uh</m:t>
                    </m:r>
                  </m:sup>
                </m:sSup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Precio último Hecho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491.61</w:t>
            </w:r>
          </w:p>
        </w:tc>
      </w:tr>
      <w:tr w:rsidR="00615A0E" w:rsidRPr="006668C2" w:rsidTr="00517B4C">
        <w:trPr>
          <w:trHeight w:val="21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Volumen Operado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1241979</w:t>
            </w:r>
          </w:p>
        </w:tc>
      </w:tr>
      <w:tr w:rsidR="00615A0E" w:rsidRPr="006668C2" w:rsidTr="00517B4C">
        <w:trPr>
          <w:trHeight w:val="208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Precio/Utilidad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  <w:tr w:rsidR="00615A0E" w:rsidRPr="006668C2" w:rsidTr="00517B4C">
        <w:trPr>
          <w:trHeight w:val="21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VL</m:t>
                    </m:r>
                  </m:sup>
                </m:sSup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Precio/Valor Libro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  <w:tr w:rsidR="00615A0E" w:rsidRPr="006668C2" w:rsidTr="00517B4C">
        <w:trPr>
          <w:trHeight w:val="27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Utilidad p/Acción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  <w:tr w:rsidR="00615A0E" w:rsidRPr="006668C2" w:rsidTr="00517B4C">
        <w:trPr>
          <w:trHeight w:val="19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05DDC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La</m:t>
                    </m:r>
                  </m:sup>
                </m:sSup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Valor Libro p/Acción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</w:tbl>
    <w:p w:rsidR="0057216B" w:rsidRPr="006668C2" w:rsidRDefault="0057216B" w:rsidP="006668C2">
      <w:pPr>
        <w:spacing w:after="0" w:line="240" w:lineRule="auto"/>
        <w:rPr>
          <w:rFonts w:ascii="Times New Roman" w:eastAsia="Calibri" w:hAnsi="Times New Roman" w:cs="Times New Roman"/>
          <w:lang w:val="es-MX"/>
        </w:rPr>
      </w:pPr>
    </w:p>
    <w:p w:rsidR="006668C2" w:rsidRPr="006668C2" w:rsidRDefault="006668C2" w:rsidP="006668C2">
      <w:pPr>
        <w:spacing w:after="0" w:line="240" w:lineRule="auto"/>
        <w:rPr>
          <w:rFonts w:ascii="Times New Roman" w:eastAsia="Calibri" w:hAnsi="Times New Roman" w:cs="Times New Roman"/>
          <w:vanish/>
          <w:lang w:val="es-MX"/>
        </w:rPr>
      </w:pPr>
    </w:p>
    <w:p w:rsidR="000F39F2" w:rsidRPr="006668C2" w:rsidRDefault="000F39F2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 w:rsidRPr="006668C2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 Estadística de producción del servicio</w:t>
      </w:r>
      <w:r w:rsidR="00F861BA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.</w:t>
      </w:r>
    </w:p>
    <w:p w:rsidR="00247F2E" w:rsidRPr="006668C2" w:rsidRDefault="00247F2E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6668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666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 w:rsidR="00615A0E" w:rsidRPr="006668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Nivel ingresos y egresos netos</w:t>
      </w:r>
    </w:p>
    <w:p w:rsidR="00615A0E" w:rsidRPr="006668C2" w:rsidRDefault="00615A0E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 w:rsidRPr="006668C2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4543425" cy="1428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C2" w:rsidRDefault="006668C2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</w:p>
    <w:p w:rsidR="00247F2E" w:rsidRPr="006668C2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  <w:r w:rsidRPr="006668C2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Fuente: Adaptado de Galpin</w:t>
      </w:r>
      <w:r w:rsidR="00F861BA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.</w:t>
      </w:r>
    </w:p>
    <w:p w:rsidR="0057216B" w:rsidRPr="006668C2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615A0E" w:rsidRPr="006668C2" w:rsidRDefault="00247F2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6668C2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Gráfico 1.1</w:t>
      </w:r>
      <w:r w:rsidRPr="006668C2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="00615A0E" w:rsidRPr="006668C2">
        <w:rPr>
          <w:rFonts w:ascii="Times New Roman" w:eastAsia="Apple LiGothic Medium" w:hAnsi="Times New Roman" w:cs="Times New Roman"/>
          <w:bCs/>
          <w:noProof/>
          <w:sz w:val="24"/>
          <w:szCs w:val="24"/>
          <w:lang w:val="es-MX" w:eastAsia="it-IT"/>
        </w:rPr>
        <w:t>Representa las particiones de mercado Goog Inc.</w:t>
      </w:r>
    </w:p>
    <w:p w:rsidR="00A04372" w:rsidRPr="006668C2" w:rsidRDefault="00A04372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247F2E" w:rsidRPr="006668C2" w:rsidRDefault="00615A0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6668C2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039603" cy="2228338"/>
            <wp:effectExtent l="0" t="0" r="889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7"/>
                    <a:stretch/>
                  </pic:blipFill>
                  <pic:spPr bwMode="auto">
                    <a:xfrm>
                      <a:off x="0" y="0"/>
                      <a:ext cx="5046962" cy="22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E" w:rsidRPr="006668C2" w:rsidRDefault="00247F2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Pr="00FE35E5">
        <w:rPr>
          <w:rFonts w:ascii="Times New Roman" w:hAnsi="Times New Roman" w:cs="Times New Roman"/>
          <w:b/>
          <w:sz w:val="24"/>
          <w:szCs w:val="24"/>
        </w:rPr>
        <w:t>3 C</w:t>
      </w:r>
      <w:r w:rsidR="00631630" w:rsidRPr="00FE35E5">
        <w:rPr>
          <w:rFonts w:ascii="Times New Roman" w:hAnsi="Times New Roman" w:cs="Times New Roman"/>
          <w:b/>
          <w:sz w:val="24"/>
          <w:szCs w:val="24"/>
        </w:rPr>
        <w:t>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63163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615A0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668C2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 xml:space="preserve">MRR =  </w:t>
      </w: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 xml:space="preserve">+  </m:t>
            </m:r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lim⁡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π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TC</m:t>
                    </m:r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 xml:space="preserve">   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⌊"/>
                    <m:endChr m:val="⌋"/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MinionMath-Regular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MinionMath-Regular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func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3/4</m:t>
                </m:r>
              </m:sup>
            </m:s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TC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π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</m:e>
            </m:func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C</m:t>
            </m:r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D</m:t>
            </m:r>
          </m:den>
        </m:f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ξ</m:t>
            </m:r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 xml:space="preserve">2 </m:t>
            </m:r>
          </m:sup>
        </m:sSup>
      </m:oMath>
      <w:r w:rsidRPr="006668C2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="00247F2E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47F2E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6668C2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47F2E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631630" w:rsidRDefault="00631630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1630" w:rsidRDefault="00631630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35E5" w:rsidRDefault="00FE35E5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35E5" w:rsidRDefault="00FE35E5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E35E5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E35E5" w:rsidRPr="00FE35E5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Ca</w:t>
      </w:r>
      <w:r w:rsidR="00631630">
        <w:t xml:space="preserve">da artículo deberá presentar </w:t>
      </w:r>
      <w:r w:rsidRPr="006668C2">
        <w:t>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la Revista</w:t>
      </w:r>
    </w:p>
    <w:p w:rsidR="00E00C5C" w:rsidRPr="006668C2" w:rsidRDefault="00E00C5C" w:rsidP="006668C2">
      <w:pPr>
        <w:pStyle w:val="Default"/>
        <w:jc w:val="both"/>
      </w:pPr>
      <w:r w:rsidRPr="006668C2">
        <w:t>Título del Artículo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Keywords</w:t>
      </w:r>
    </w:p>
    <w:p w:rsidR="00E00C5C" w:rsidRPr="006668C2" w:rsidRDefault="00E00C5C" w:rsidP="006668C2">
      <w:pPr>
        <w:pStyle w:val="Default"/>
        <w:jc w:val="both"/>
      </w:pPr>
      <w:r w:rsidRPr="006668C2">
        <w:t>Secciones del Artículo,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E35E5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sectPr w:rsidR="000F39F2" w:rsidRPr="006668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DC" w:rsidRDefault="00305DDC" w:rsidP="00A04372">
      <w:pPr>
        <w:spacing w:after="0" w:line="240" w:lineRule="auto"/>
      </w:pPr>
      <w:r>
        <w:separator/>
      </w:r>
    </w:p>
  </w:endnote>
  <w:endnote w:type="continuationSeparator" w:id="0">
    <w:p w:rsidR="00305DDC" w:rsidRDefault="00305DDC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DC" w:rsidRDefault="00305DDC" w:rsidP="00A04372">
      <w:pPr>
        <w:spacing w:after="0" w:line="240" w:lineRule="auto"/>
      </w:pPr>
      <w:r>
        <w:separator/>
      </w:r>
    </w:p>
  </w:footnote>
  <w:footnote w:type="continuationSeparator" w:id="0">
    <w:p w:rsidR="00305DDC" w:rsidRDefault="00305DDC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615A0E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Actas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31F2B"/>
    <w:rsid w:val="00247F2E"/>
    <w:rsid w:val="00305DDC"/>
    <w:rsid w:val="00372DD1"/>
    <w:rsid w:val="00375C61"/>
    <w:rsid w:val="005668C6"/>
    <w:rsid w:val="0057216B"/>
    <w:rsid w:val="005A55E6"/>
    <w:rsid w:val="00615A0E"/>
    <w:rsid w:val="00631630"/>
    <w:rsid w:val="006668C2"/>
    <w:rsid w:val="009D08D0"/>
    <w:rsid w:val="00A04372"/>
    <w:rsid w:val="00BC4464"/>
    <w:rsid w:val="00C842DA"/>
    <w:rsid w:val="00D42826"/>
    <w:rsid w:val="00DB0E41"/>
    <w:rsid w:val="00E00C5C"/>
    <w:rsid w:val="00E670D3"/>
    <w:rsid w:val="00F861BA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vanessa y yeni</cp:lastModifiedBy>
  <cp:revision>9</cp:revision>
  <dcterms:created xsi:type="dcterms:W3CDTF">2015-12-02T18:30:00Z</dcterms:created>
  <dcterms:modified xsi:type="dcterms:W3CDTF">2017-07-20T20:28:00Z</dcterms:modified>
</cp:coreProperties>
</file>